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nkdb69xfe4r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Modèle de statuts d'association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lmg7zwe2qyo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STATUTS DE L'ASSOCIATION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sffsfoqflcm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 – Dénomination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fondé entre les adhérents aux présents statuts une association régie par la loi du 1er juillet 1901 et le décret du 16 août 1901, ayant pour dénomination :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k381cbd0r01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2 – Objet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a pour objet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Et, plus généralement, toute action se rattachant directement ou indirectement à cet objet ou susceptible d'en favoriser la réalisation.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tv99ws72da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3 – Siège social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siège social est fixé à :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pourra être transféré par décision du conseil d'administration ou de l'assemblée générale selon les modalités prévues par les présents statuts.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0hm8g85ssak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4 – Durée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est constituée pour une durée illimitée.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66nc1yu5eac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5 – Composition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se compose de 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membres fondateurs 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membres actifs ou adhérents 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membres bienfaiteurs 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membres d'honneur.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conditions d'adhésion et les droits attachés à chaque catégorie de membres peuvent être précisées par le règlement intérieur.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0v1z1m0giw2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6 – Admission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est ouverte à toute personne physique ou morale adhérant à son objet et respectant les présents statuts.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demande d'adhésion doit être adressée au président ou à l'organe compétent désigné par l'association.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conseil d'administration peut refuser une adhésion par décision motivée.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4g9caz4bem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7 – Cotisations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peuvent être tenus de verser une cotisation annuelle dont le montant est fixé par l'assemblée générale ou le conseil d'administration.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d'honneur peuvent être dispensés de cotisation.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5dzr296cd7w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8 – Perte de la qualité de membre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qualité de membre se perd par :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démission ;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décès ;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dissolution de la personne morale adhérente ;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non-paiement de la cotisation ;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radiation prononcée pour motif grave ou non-respect des statuts.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personne concernée est préalablement invitée à présenter ses observations.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skiygvm5449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9 – Ressources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ressources de l'association comprennent notamment 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cotisations ;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subventions publiques ;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dons manuels ;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recettes provenant de manifestations ou activités ;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produits des prestations réalisées ;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 autre ressource autorisée par la réglementation.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jr89ijbl40b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10 – Conseil d'administration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est administrée par un conseil d'administration composé de :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[nombre]</w:t>
      </w:r>
      <w:r w:rsidDel="00000000" w:rsidR="00000000" w:rsidRPr="00000000">
        <w:rPr>
          <w:sz w:val="21"/>
          <w:szCs w:val="21"/>
          <w:rtl w:val="0"/>
        </w:rPr>
        <w:t xml:space="preserve"> membres élus par l'assemblée générale.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administrateurs sont élus pour une durée de :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[nombre]</w:t>
      </w:r>
      <w:r w:rsidDel="00000000" w:rsidR="00000000" w:rsidRPr="00000000">
        <w:rPr>
          <w:sz w:val="21"/>
          <w:szCs w:val="21"/>
          <w:rtl w:val="0"/>
        </w:rPr>
        <w:t xml:space="preserve"> années.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sont rééligibles.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de vacance d'un poste, le conseil d'administration peut pourvoir provisoirement à son remplacement jusqu'à la prochaine assemblée générale.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6gjmmq5vqd1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11 – Réunions du conseil d'administration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conseil d'administration se réunit aussi souvent que l'intérêt de l'association l'exige et au minimum une fois par an.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convocations sont adressées par le président ou toute personne habilitée.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décisions sont prises à la majorité des membres présents ou représentés.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de partage égal des voix, la voix du président est prépondérante.</w:t>
      </w:r>
    </w:p>
    <w:p w:rsidR="00000000" w:rsidDel="00000000" w:rsidP="00000000" w:rsidRDefault="00000000" w:rsidRPr="00000000" w14:paraId="0000004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m72j6f5b2mv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12 – Bureau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conseil d'administration élit parmi ses membres un bureau composé au minimum de :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président ;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secrétaire ;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trésorier.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bureau assure la gestion courante de l'association.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wgppwx7uolh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13 – Président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représente l'association dans tous les actes de la vie civile.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agit en justice au nom de l'association.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convoque les assemblées générales et les réunions du conseil d'administration.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veille à l'exécution des décisions prises par les instances de l'association.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isz5mq98339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14 – Assemblée générale ordinaire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ordinaire comprend tous les membres de l'association à jour de leurs obligations statutaires.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 se réunit au moins une fois par an.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: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entend le rapport moral ;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entend le rapport d'activité ;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entend le rapport financier ;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approuve les comptes ;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vote les résolutions relevant de sa compétence ;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procède aux élections prévues par les statuts.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décisions sont prises à la majorité des suffrages exprimés.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wdak54mp0dr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15 – Assemblée générale extraordinaire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extraordinaire est compétente pour :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modifier les statuts ;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prononcer la dissolution de l'association ;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décider de la fusion avec une autre structure ;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statuer sur toute question relevant de sa compétence particulière.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conditions de quorum et de majorité sont les suivantes :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uvc6vsd4m1i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16 – Règlement intérieur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 règlement intérieur peut être adopté par le conseil d'administration ou l'assemblée générale afin de préciser les modalités d'application des présents statuts.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s'impose à l'ensemble des membres.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1n0s5ygr5ps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17 – Dissolution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dissolution de l'association est prononcée par une assemblée générale extraordinaire convoquée spécialement à cet effet.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désigne un ou plusieurs liquidateurs chargés des opérations de liquidation.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L'actif net subsistant après apurement du passif est attribué conformément aux décisions de l'assemblée générale et aux dispositions applicables aux associations.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aucun cas les membres ne peuvent se voir attribuer une part quelconque des biens de l'association.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n9k66ri80vn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18 – Formalités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ou toute personne mandatée est chargé d'accomplir l'ensemble des formalités de déclaration et de publication prévues par la réglementation.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zmv7uhzvjy3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Signatures des membres fondateurs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i w:val="1"/>
          <w:iCs w:val="1"/>
          <w:sz w:val="21"/>
          <w:szCs w:val="21"/>
        </w:rPr>
      </w:pP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(Ajouter autant de signataires que nécessaire.)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